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AE1D4" w14:textId="77777777" w:rsidR="007F6AF3" w:rsidRPr="006C5351" w:rsidRDefault="007F6AF3" w:rsidP="007F6AF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5351">
        <w:rPr>
          <w:rFonts w:ascii="Times New Roman" w:hAnsi="Times New Roman" w:cs="Times New Roman"/>
          <w:b/>
          <w:bCs/>
          <w:sz w:val="22"/>
          <w:szCs w:val="22"/>
        </w:rPr>
        <w:t>DOCUMENTO DI CONSULTAZIONE</w:t>
      </w:r>
    </w:p>
    <w:p w14:paraId="3D9B3368" w14:textId="5F7522DF" w:rsidR="00764962" w:rsidRPr="006C5351" w:rsidRDefault="00764962" w:rsidP="008F48AE">
      <w:pPr>
        <w:jc w:val="both"/>
        <w:rPr>
          <w:rFonts w:ascii="Times New Roman" w:hAnsi="Times New Roman" w:cs="Times New Roman"/>
          <w:sz w:val="20"/>
          <w:szCs w:val="20"/>
        </w:rPr>
      </w:pPr>
      <w:r w:rsidRPr="006C5351">
        <w:rPr>
          <w:rFonts w:ascii="Times New Roman" w:hAnsi="Times New Roman" w:cs="Times New Roman"/>
          <w:sz w:val="20"/>
          <w:szCs w:val="20"/>
        </w:rPr>
        <w:t>Ai sensi dell’art</w:t>
      </w:r>
      <w:r w:rsidR="00303667">
        <w:rPr>
          <w:rFonts w:ascii="Times New Roman" w:hAnsi="Times New Roman" w:cs="Times New Roman"/>
          <w:sz w:val="20"/>
          <w:szCs w:val="20"/>
        </w:rPr>
        <w:t xml:space="preserve">icolo </w:t>
      </w:r>
      <w:r w:rsidRPr="006C5351">
        <w:rPr>
          <w:rFonts w:ascii="Times New Roman" w:hAnsi="Times New Roman" w:cs="Times New Roman"/>
          <w:sz w:val="20"/>
          <w:szCs w:val="20"/>
        </w:rPr>
        <w:t xml:space="preserve">88-bis </w:t>
      </w:r>
      <w:r w:rsidR="00041726">
        <w:rPr>
          <w:rFonts w:ascii="Times New Roman" w:hAnsi="Times New Roman" w:cs="Times New Roman"/>
          <w:sz w:val="20"/>
          <w:szCs w:val="20"/>
        </w:rPr>
        <w:t xml:space="preserve">comma 12-ter </w:t>
      </w:r>
      <w:r w:rsidRPr="006C5351">
        <w:rPr>
          <w:rFonts w:ascii="Times New Roman" w:hAnsi="Times New Roman" w:cs="Times New Roman"/>
          <w:sz w:val="20"/>
          <w:szCs w:val="20"/>
        </w:rPr>
        <w:t>del decreto-legge 17 marzo 2020, n. 18, convertito, con modificazioni, dalla legge 24 aprile 2020, n. 27, è stato istituito presso il Ministero del Turismo un fondo, con una dotazione di 1 milione di euro</w:t>
      </w:r>
      <w:r w:rsidR="006C5351">
        <w:rPr>
          <w:rFonts w:ascii="Times New Roman" w:hAnsi="Times New Roman" w:cs="Times New Roman"/>
          <w:sz w:val="20"/>
          <w:szCs w:val="20"/>
        </w:rPr>
        <w:t xml:space="preserve"> per l’anno 2021</w:t>
      </w:r>
      <w:r w:rsidRPr="006C5351">
        <w:rPr>
          <w:rFonts w:ascii="Times New Roman" w:hAnsi="Times New Roman" w:cs="Times New Roman"/>
          <w:sz w:val="20"/>
          <w:szCs w:val="20"/>
        </w:rPr>
        <w:t xml:space="preserve">, da destinare all’indennizzo dei consumatori titolari di voucher emessi ai sensi del </w:t>
      </w:r>
      <w:r w:rsidR="00E970A8">
        <w:rPr>
          <w:rFonts w:ascii="Times New Roman" w:hAnsi="Times New Roman" w:cs="Times New Roman"/>
          <w:sz w:val="20"/>
          <w:szCs w:val="20"/>
        </w:rPr>
        <w:t>citato</w:t>
      </w:r>
      <w:r w:rsidR="00162F9F">
        <w:rPr>
          <w:rFonts w:ascii="Times New Roman" w:hAnsi="Times New Roman" w:cs="Times New Roman"/>
          <w:sz w:val="20"/>
          <w:szCs w:val="20"/>
        </w:rPr>
        <w:t xml:space="preserve"> articolo</w:t>
      </w:r>
      <w:r w:rsidRPr="006C5351">
        <w:rPr>
          <w:rFonts w:ascii="Times New Roman" w:hAnsi="Times New Roman" w:cs="Times New Roman"/>
          <w:sz w:val="20"/>
          <w:szCs w:val="20"/>
        </w:rPr>
        <w:t>, non utilizzati alla scadenza di validità e non rimborsati a causa dell’insolvenza o del fallimento dell’operatore turistico o del vettore.</w:t>
      </w:r>
    </w:p>
    <w:p w14:paraId="060FF14E" w14:textId="079D97B8" w:rsidR="00764962" w:rsidRPr="006C5351" w:rsidRDefault="00764962" w:rsidP="008F48AE">
      <w:pPr>
        <w:jc w:val="both"/>
        <w:rPr>
          <w:rFonts w:ascii="Times New Roman" w:hAnsi="Times New Roman" w:cs="Times New Roman"/>
          <w:sz w:val="20"/>
          <w:szCs w:val="20"/>
        </w:rPr>
      </w:pPr>
      <w:r w:rsidRPr="006C5351">
        <w:rPr>
          <w:rFonts w:ascii="Times New Roman" w:hAnsi="Times New Roman" w:cs="Times New Roman"/>
          <w:sz w:val="20"/>
          <w:szCs w:val="20"/>
        </w:rPr>
        <w:t xml:space="preserve">Con Decreto del Ministero del Turismo, di concerto con il Ministro dell’Economia e delle Finanze e il Ministro delle Infrastrutture e delle Mobilità Sostenibili, del 10 settembre 2021, n. 160, è stato adottato il </w:t>
      </w:r>
      <w:r w:rsidR="00857798">
        <w:rPr>
          <w:rFonts w:ascii="Times New Roman" w:hAnsi="Times New Roman" w:cs="Times New Roman"/>
          <w:sz w:val="20"/>
          <w:szCs w:val="20"/>
        </w:rPr>
        <w:t>“</w:t>
      </w:r>
      <w:r w:rsidRPr="006C5351">
        <w:rPr>
          <w:rFonts w:ascii="Times New Roman" w:hAnsi="Times New Roman" w:cs="Times New Roman"/>
          <w:sz w:val="20"/>
          <w:szCs w:val="20"/>
        </w:rPr>
        <w:t>Regolamento recante disposizioni applicative concernenti il citato Fondo</w:t>
      </w:r>
      <w:r w:rsidR="00CB473B">
        <w:rPr>
          <w:rFonts w:ascii="Times New Roman" w:hAnsi="Times New Roman" w:cs="Times New Roman"/>
          <w:sz w:val="20"/>
          <w:szCs w:val="20"/>
        </w:rPr>
        <w:t xml:space="preserve"> per l’indennizzo dei consumatori titolari di voucher</w:t>
      </w:r>
      <w:r w:rsidR="006B36F5">
        <w:rPr>
          <w:rFonts w:ascii="Times New Roman" w:hAnsi="Times New Roman" w:cs="Times New Roman"/>
          <w:sz w:val="20"/>
          <w:szCs w:val="20"/>
        </w:rPr>
        <w:t xml:space="preserve"> emessi ai sensi </w:t>
      </w:r>
      <w:proofErr w:type="gramStart"/>
      <w:r w:rsidR="006B36F5">
        <w:rPr>
          <w:rFonts w:ascii="Times New Roman" w:hAnsi="Times New Roman" w:cs="Times New Roman"/>
          <w:sz w:val="20"/>
          <w:szCs w:val="20"/>
        </w:rPr>
        <w:t>dell’</w:t>
      </w:r>
      <w:r w:rsidR="00041726">
        <w:rPr>
          <w:rFonts w:ascii="Times New Roman" w:hAnsi="Times New Roman" w:cs="Times New Roman"/>
          <w:sz w:val="20"/>
          <w:szCs w:val="20"/>
        </w:rPr>
        <w:t xml:space="preserve"> </w:t>
      </w:r>
      <w:r w:rsidR="00041726" w:rsidRPr="006C5351">
        <w:rPr>
          <w:rFonts w:ascii="Times New Roman" w:hAnsi="Times New Roman" w:cs="Times New Roman"/>
          <w:sz w:val="20"/>
          <w:szCs w:val="20"/>
        </w:rPr>
        <w:t>art.</w:t>
      </w:r>
      <w:proofErr w:type="gramEnd"/>
      <w:r w:rsidR="00041726" w:rsidRPr="006C5351">
        <w:rPr>
          <w:rFonts w:ascii="Times New Roman" w:hAnsi="Times New Roman" w:cs="Times New Roman"/>
          <w:sz w:val="20"/>
          <w:szCs w:val="20"/>
        </w:rPr>
        <w:t>88-bis del decreto-legge 17 marzo 2020, n. 18, convertito, con modificazioni, dalla legge 24 aprile 2020, n. 27</w:t>
      </w:r>
      <w:r w:rsidR="006B36F5">
        <w:rPr>
          <w:rFonts w:ascii="Times New Roman" w:hAnsi="Times New Roman" w:cs="Times New Roman"/>
          <w:sz w:val="20"/>
          <w:szCs w:val="20"/>
        </w:rPr>
        <w:t>”.</w:t>
      </w:r>
      <w:r w:rsidR="00041726" w:rsidRPr="006C535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F2D0AD" w14:textId="134C147F" w:rsidR="00504F42" w:rsidRPr="006C5351" w:rsidRDefault="00504F42" w:rsidP="008F48AE">
      <w:pPr>
        <w:jc w:val="both"/>
        <w:rPr>
          <w:rFonts w:ascii="Times New Roman" w:hAnsi="Times New Roman" w:cs="Times New Roman"/>
          <w:sz w:val="20"/>
          <w:szCs w:val="20"/>
        </w:rPr>
      </w:pPr>
      <w:r w:rsidRPr="006C5351">
        <w:rPr>
          <w:rFonts w:ascii="Times New Roman" w:hAnsi="Times New Roman" w:cs="Times New Roman"/>
          <w:sz w:val="20"/>
          <w:szCs w:val="20"/>
        </w:rPr>
        <w:t xml:space="preserve">L’articolo 1 del decreto interministeriale, in attuazione di quanto previsto dall’articolo 88-bis del decreto-legge 17 marzo 2020, n. 18, convertito, con modificazioni, dalla legge 24 aprile 2020, n. 27, riguarda l’oggetto del </w:t>
      </w:r>
      <w:r w:rsidR="007D4FBE" w:rsidRPr="006C5351">
        <w:rPr>
          <w:rFonts w:ascii="Times New Roman" w:hAnsi="Times New Roman" w:cs="Times New Roman"/>
          <w:sz w:val="20"/>
          <w:szCs w:val="20"/>
        </w:rPr>
        <w:t xml:space="preserve">decreto </w:t>
      </w:r>
      <w:r w:rsidRPr="006C5351">
        <w:rPr>
          <w:rFonts w:ascii="Times New Roman" w:hAnsi="Times New Roman" w:cs="Times New Roman"/>
          <w:sz w:val="20"/>
          <w:szCs w:val="20"/>
        </w:rPr>
        <w:t>ovvero la definizione dei criteri e delle modalità per l’erogazione delle risorse del fondo.</w:t>
      </w:r>
    </w:p>
    <w:p w14:paraId="38F77AB1" w14:textId="31FA9DCE" w:rsidR="00504F42" w:rsidRPr="006C5351" w:rsidRDefault="00504F42" w:rsidP="008F48AE">
      <w:pPr>
        <w:jc w:val="both"/>
        <w:rPr>
          <w:rFonts w:ascii="Times New Roman" w:hAnsi="Times New Roman" w:cs="Times New Roman"/>
          <w:sz w:val="20"/>
          <w:szCs w:val="20"/>
        </w:rPr>
      </w:pPr>
      <w:r w:rsidRPr="006C5351">
        <w:rPr>
          <w:rFonts w:ascii="Times New Roman" w:hAnsi="Times New Roman" w:cs="Times New Roman"/>
          <w:sz w:val="20"/>
          <w:szCs w:val="20"/>
        </w:rPr>
        <w:t>L’articolo 2 è relativo alla presentazione delle domande</w:t>
      </w:r>
      <w:r w:rsidR="00C93A98" w:rsidRPr="006C5351">
        <w:rPr>
          <w:rFonts w:ascii="Times New Roman" w:hAnsi="Times New Roman" w:cs="Times New Roman"/>
          <w:sz w:val="20"/>
          <w:szCs w:val="20"/>
        </w:rPr>
        <w:t xml:space="preserve">: </w:t>
      </w:r>
      <w:r w:rsidRPr="006C5351">
        <w:rPr>
          <w:rFonts w:ascii="Times New Roman" w:hAnsi="Times New Roman" w:cs="Times New Roman"/>
          <w:sz w:val="20"/>
          <w:szCs w:val="20"/>
        </w:rPr>
        <w:t xml:space="preserve">prevedendo la successiva pubblicazione di un avviso </w:t>
      </w:r>
      <w:r w:rsidR="00C93A98" w:rsidRPr="006C5351">
        <w:rPr>
          <w:rFonts w:ascii="Times New Roman" w:hAnsi="Times New Roman" w:cs="Times New Roman"/>
          <w:sz w:val="20"/>
          <w:szCs w:val="20"/>
        </w:rPr>
        <w:t>ha definito</w:t>
      </w:r>
      <w:r w:rsidRPr="006C5351">
        <w:rPr>
          <w:rFonts w:ascii="Times New Roman" w:hAnsi="Times New Roman" w:cs="Times New Roman"/>
          <w:sz w:val="20"/>
          <w:szCs w:val="20"/>
        </w:rPr>
        <w:t xml:space="preserve"> alcuni elementi per la presentazione dell’istanza</w:t>
      </w:r>
      <w:r w:rsidR="00C93A98" w:rsidRPr="006C5351">
        <w:rPr>
          <w:rFonts w:ascii="Times New Roman" w:hAnsi="Times New Roman" w:cs="Times New Roman"/>
          <w:sz w:val="20"/>
          <w:szCs w:val="20"/>
        </w:rPr>
        <w:t>. È previsto che possono presentare domanda – in via esclusivamente telematica - i consumatori per i voucher che non sono stati utilizzati entro la scadenza di validità e non sono stati rimborsati a causa dell'insolvenza o del fallimento dell'operatore turistico o del vettore. Nel medesimo articolo sono pertanto definite le condizioni per la presentazione della domanda ivi inclusa l’indicazione della documentazione da allegare.</w:t>
      </w:r>
    </w:p>
    <w:p w14:paraId="51E575F1" w14:textId="1ED9D033" w:rsidR="00C93A98" w:rsidRPr="006C5351" w:rsidRDefault="00C93A98" w:rsidP="008F48AE">
      <w:pPr>
        <w:jc w:val="both"/>
        <w:rPr>
          <w:rFonts w:ascii="Times New Roman" w:hAnsi="Times New Roman" w:cs="Times New Roman"/>
          <w:sz w:val="20"/>
          <w:szCs w:val="20"/>
        </w:rPr>
      </w:pPr>
      <w:r w:rsidRPr="006C5351">
        <w:rPr>
          <w:rFonts w:ascii="Times New Roman" w:hAnsi="Times New Roman" w:cs="Times New Roman"/>
          <w:sz w:val="20"/>
          <w:szCs w:val="20"/>
        </w:rPr>
        <w:t xml:space="preserve">L’articolo 3 </w:t>
      </w:r>
      <w:r w:rsidR="002A7208" w:rsidRPr="006C5351">
        <w:rPr>
          <w:rFonts w:ascii="Times New Roman" w:hAnsi="Times New Roman" w:cs="Times New Roman"/>
          <w:sz w:val="20"/>
          <w:szCs w:val="20"/>
        </w:rPr>
        <w:t>investe</w:t>
      </w:r>
      <w:r w:rsidRPr="006C5351">
        <w:rPr>
          <w:rFonts w:ascii="Times New Roman" w:hAnsi="Times New Roman" w:cs="Times New Roman"/>
          <w:sz w:val="20"/>
          <w:szCs w:val="20"/>
        </w:rPr>
        <w:t xml:space="preserve"> la Direzione generale della programmazione e delle politiche per il turismo</w:t>
      </w:r>
      <w:r w:rsidR="002A7208" w:rsidRPr="006C5351">
        <w:rPr>
          <w:rFonts w:ascii="Times New Roman" w:hAnsi="Times New Roman" w:cs="Times New Roman"/>
          <w:sz w:val="20"/>
          <w:szCs w:val="20"/>
        </w:rPr>
        <w:t xml:space="preserve"> per </w:t>
      </w:r>
      <w:r w:rsidRPr="006C5351">
        <w:rPr>
          <w:rFonts w:ascii="Times New Roman" w:hAnsi="Times New Roman" w:cs="Times New Roman"/>
          <w:sz w:val="20"/>
          <w:szCs w:val="20"/>
        </w:rPr>
        <w:t xml:space="preserve">l'istruttoria di tutte le domande e </w:t>
      </w:r>
      <w:r w:rsidR="002A7208" w:rsidRPr="006C5351">
        <w:rPr>
          <w:rFonts w:ascii="Times New Roman" w:hAnsi="Times New Roman" w:cs="Times New Roman"/>
          <w:sz w:val="20"/>
          <w:szCs w:val="20"/>
        </w:rPr>
        <w:t xml:space="preserve">stabilisce </w:t>
      </w:r>
      <w:r w:rsidRPr="006C5351">
        <w:rPr>
          <w:rFonts w:ascii="Times New Roman" w:hAnsi="Times New Roman" w:cs="Times New Roman"/>
          <w:sz w:val="20"/>
          <w:szCs w:val="20"/>
        </w:rPr>
        <w:t>le modalità di erogazione dell'indennizzo.</w:t>
      </w:r>
    </w:p>
    <w:p w14:paraId="27240947" w14:textId="06395911" w:rsidR="00C93A98" w:rsidRPr="006C5351" w:rsidRDefault="00C93A98" w:rsidP="008F48AE">
      <w:pPr>
        <w:jc w:val="both"/>
        <w:rPr>
          <w:rFonts w:ascii="Times New Roman" w:hAnsi="Times New Roman" w:cs="Times New Roman"/>
          <w:sz w:val="20"/>
          <w:szCs w:val="20"/>
        </w:rPr>
      </w:pPr>
      <w:r w:rsidRPr="006C5351">
        <w:rPr>
          <w:rFonts w:ascii="Times New Roman" w:hAnsi="Times New Roman" w:cs="Times New Roman"/>
          <w:sz w:val="20"/>
          <w:szCs w:val="20"/>
        </w:rPr>
        <w:t xml:space="preserve">L’articolo 4 definisce le verifiche e i controlli </w:t>
      </w:r>
      <w:r w:rsidR="007D4FBE" w:rsidRPr="006C5351">
        <w:rPr>
          <w:rFonts w:ascii="Times New Roman" w:hAnsi="Times New Roman" w:cs="Times New Roman"/>
          <w:sz w:val="20"/>
          <w:szCs w:val="20"/>
        </w:rPr>
        <w:t xml:space="preserve">sulla documentazione e </w:t>
      </w:r>
      <w:r w:rsidR="002A7208" w:rsidRPr="006C5351">
        <w:rPr>
          <w:rFonts w:ascii="Times New Roman" w:hAnsi="Times New Roman" w:cs="Times New Roman"/>
          <w:sz w:val="20"/>
          <w:szCs w:val="20"/>
        </w:rPr>
        <w:t>sul</w:t>
      </w:r>
      <w:r w:rsidR="007D4FBE" w:rsidRPr="006C5351">
        <w:rPr>
          <w:rFonts w:ascii="Times New Roman" w:hAnsi="Times New Roman" w:cs="Times New Roman"/>
          <w:sz w:val="20"/>
          <w:szCs w:val="20"/>
        </w:rPr>
        <w:t xml:space="preserve">la veridicità delle attestazioni indicando altresì la possibilità di revoca in caso di irregolarità. </w:t>
      </w:r>
    </w:p>
    <w:p w14:paraId="38EFF612" w14:textId="632CD085" w:rsidR="007D4FBE" w:rsidRPr="006C5351" w:rsidRDefault="007D4FBE" w:rsidP="008F48AE">
      <w:pPr>
        <w:jc w:val="both"/>
        <w:rPr>
          <w:rFonts w:ascii="Times New Roman" w:hAnsi="Times New Roman" w:cs="Times New Roman"/>
          <w:sz w:val="20"/>
          <w:szCs w:val="20"/>
        </w:rPr>
      </w:pPr>
      <w:r w:rsidRPr="006C5351">
        <w:rPr>
          <w:rFonts w:ascii="Times New Roman" w:hAnsi="Times New Roman" w:cs="Times New Roman"/>
          <w:sz w:val="20"/>
          <w:szCs w:val="20"/>
        </w:rPr>
        <w:t>L’articolo 5 relativo alle disposizioni finanziarie prevede l’allocazione sul capitolo di bilancio 4202, P. G. 1, per l'anno 2021, nell'ambito del centro di responsabilità 4 «Direzione generale della programmazione e delle politiche per il turismo</w:t>
      </w:r>
      <w:r w:rsidR="002A7208" w:rsidRPr="006C5351">
        <w:rPr>
          <w:rFonts w:ascii="Times New Roman" w:hAnsi="Times New Roman" w:cs="Times New Roman"/>
          <w:sz w:val="20"/>
          <w:szCs w:val="20"/>
        </w:rPr>
        <w:t>» dello stato di previsione della spesa del Ministero del turismo.</w:t>
      </w:r>
    </w:p>
    <w:p w14:paraId="475B32DD" w14:textId="273E193A" w:rsidR="001358BE" w:rsidRPr="006C5351" w:rsidRDefault="00764962" w:rsidP="008F48AE">
      <w:pPr>
        <w:jc w:val="both"/>
        <w:rPr>
          <w:rFonts w:ascii="Times New Roman" w:hAnsi="Times New Roman" w:cs="Times New Roman"/>
          <w:sz w:val="20"/>
          <w:szCs w:val="20"/>
        </w:rPr>
      </w:pPr>
      <w:r w:rsidRPr="006C5351">
        <w:rPr>
          <w:rFonts w:ascii="Times New Roman" w:hAnsi="Times New Roman" w:cs="Times New Roman"/>
          <w:sz w:val="20"/>
          <w:szCs w:val="20"/>
        </w:rPr>
        <w:t xml:space="preserve">In seguito, </w:t>
      </w:r>
      <w:r w:rsidR="00AF5D3A">
        <w:rPr>
          <w:rFonts w:ascii="Times New Roman" w:hAnsi="Times New Roman" w:cs="Times New Roman"/>
          <w:sz w:val="20"/>
          <w:szCs w:val="20"/>
        </w:rPr>
        <w:t>in data 6 dicembre 2021 è stato indett</w:t>
      </w:r>
      <w:r w:rsidR="00303667">
        <w:rPr>
          <w:rFonts w:ascii="Times New Roman" w:hAnsi="Times New Roman" w:cs="Times New Roman"/>
          <w:sz w:val="20"/>
          <w:szCs w:val="20"/>
        </w:rPr>
        <w:t>o</w:t>
      </w:r>
      <w:r w:rsidR="00AF5D3A">
        <w:rPr>
          <w:rFonts w:ascii="Times New Roman" w:hAnsi="Times New Roman" w:cs="Times New Roman"/>
          <w:sz w:val="20"/>
          <w:szCs w:val="20"/>
        </w:rPr>
        <w:t xml:space="preserve"> un A</w:t>
      </w:r>
      <w:r w:rsidRPr="006C5351">
        <w:rPr>
          <w:rFonts w:ascii="Times New Roman" w:hAnsi="Times New Roman" w:cs="Times New Roman"/>
          <w:sz w:val="20"/>
          <w:szCs w:val="20"/>
        </w:rPr>
        <w:t>vviso pubblic</w:t>
      </w:r>
      <w:r w:rsidR="00AF5D3A">
        <w:rPr>
          <w:rFonts w:ascii="Times New Roman" w:hAnsi="Times New Roman" w:cs="Times New Roman"/>
          <w:sz w:val="20"/>
          <w:szCs w:val="20"/>
        </w:rPr>
        <w:t>o</w:t>
      </w:r>
      <w:r w:rsidRPr="006C5351">
        <w:rPr>
          <w:rFonts w:ascii="Times New Roman" w:hAnsi="Times New Roman" w:cs="Times New Roman"/>
          <w:sz w:val="20"/>
          <w:szCs w:val="20"/>
        </w:rPr>
        <w:t xml:space="preserve"> </w:t>
      </w:r>
      <w:r w:rsidR="00AF5D3A">
        <w:rPr>
          <w:rFonts w:ascii="Times New Roman" w:hAnsi="Times New Roman" w:cs="Times New Roman"/>
          <w:sz w:val="20"/>
          <w:szCs w:val="20"/>
        </w:rPr>
        <w:t>per</w:t>
      </w:r>
      <w:r w:rsidRPr="006C5351">
        <w:rPr>
          <w:rFonts w:ascii="Times New Roman" w:hAnsi="Times New Roman" w:cs="Times New Roman"/>
          <w:sz w:val="20"/>
          <w:szCs w:val="20"/>
        </w:rPr>
        <w:t xml:space="preserve"> l’assegnazione e</w:t>
      </w:r>
      <w:r w:rsidR="00AF5D3A">
        <w:rPr>
          <w:rFonts w:ascii="Times New Roman" w:hAnsi="Times New Roman" w:cs="Times New Roman"/>
          <w:sz w:val="20"/>
          <w:szCs w:val="20"/>
        </w:rPr>
        <w:t xml:space="preserve">d </w:t>
      </w:r>
      <w:r w:rsidRPr="006C5351">
        <w:rPr>
          <w:rFonts w:ascii="Times New Roman" w:hAnsi="Times New Roman" w:cs="Times New Roman"/>
          <w:sz w:val="20"/>
          <w:szCs w:val="20"/>
        </w:rPr>
        <w:t xml:space="preserve">erogazione delle risorse </w:t>
      </w:r>
      <w:r w:rsidR="00AF5D3A">
        <w:rPr>
          <w:rFonts w:ascii="Times New Roman" w:hAnsi="Times New Roman" w:cs="Times New Roman"/>
          <w:sz w:val="20"/>
          <w:szCs w:val="20"/>
        </w:rPr>
        <w:t>di cui al citato Fondo.</w:t>
      </w:r>
    </w:p>
    <w:p w14:paraId="595AEF04" w14:textId="48DE667B" w:rsidR="00970337" w:rsidRPr="006C5351" w:rsidRDefault="00970337" w:rsidP="008F48AE">
      <w:pPr>
        <w:jc w:val="both"/>
        <w:rPr>
          <w:rFonts w:ascii="Times New Roman" w:hAnsi="Times New Roman" w:cs="Times New Roman"/>
          <w:sz w:val="20"/>
          <w:szCs w:val="20"/>
        </w:rPr>
      </w:pPr>
      <w:r w:rsidRPr="006C5351">
        <w:rPr>
          <w:rFonts w:ascii="Times New Roman" w:hAnsi="Times New Roman" w:cs="Times New Roman"/>
          <w:sz w:val="20"/>
          <w:szCs w:val="20"/>
        </w:rPr>
        <w:t xml:space="preserve">A seguito della chiusura della </w:t>
      </w:r>
      <w:r w:rsidR="00660E44" w:rsidRPr="006C5351">
        <w:rPr>
          <w:rFonts w:ascii="Times New Roman" w:hAnsi="Times New Roman" w:cs="Times New Roman"/>
          <w:sz w:val="20"/>
          <w:szCs w:val="20"/>
        </w:rPr>
        <w:t xml:space="preserve">suddetta </w:t>
      </w:r>
      <w:r w:rsidRPr="006C5351">
        <w:rPr>
          <w:rFonts w:ascii="Times New Roman" w:hAnsi="Times New Roman" w:cs="Times New Roman"/>
          <w:sz w:val="20"/>
          <w:szCs w:val="20"/>
        </w:rPr>
        <w:t>piattaforma, avvenuta in data 31 dicembre 2021, sono pervenute a</w:t>
      </w:r>
      <w:r w:rsidR="00660E44" w:rsidRPr="006C5351">
        <w:rPr>
          <w:rFonts w:ascii="Times New Roman" w:hAnsi="Times New Roman" w:cs="Times New Roman"/>
          <w:sz w:val="20"/>
          <w:szCs w:val="20"/>
        </w:rPr>
        <w:t xml:space="preserve">l Ministero </w:t>
      </w:r>
      <w:r w:rsidRPr="006C5351">
        <w:rPr>
          <w:rFonts w:ascii="Times New Roman" w:hAnsi="Times New Roman" w:cs="Times New Roman"/>
          <w:sz w:val="20"/>
          <w:szCs w:val="20"/>
        </w:rPr>
        <w:t>circa 4.000 istanze</w:t>
      </w:r>
      <w:r w:rsidR="00AD50AF" w:rsidRPr="006C5351">
        <w:rPr>
          <w:rFonts w:ascii="Times New Roman" w:hAnsi="Times New Roman" w:cs="Times New Roman"/>
          <w:sz w:val="20"/>
          <w:szCs w:val="20"/>
        </w:rPr>
        <w:t>.</w:t>
      </w:r>
    </w:p>
    <w:p w14:paraId="3CA623B0" w14:textId="556FDD67" w:rsidR="001A33ED" w:rsidRPr="006C5351" w:rsidRDefault="001A33ED" w:rsidP="008F48AE">
      <w:pPr>
        <w:jc w:val="both"/>
        <w:rPr>
          <w:rFonts w:ascii="Times New Roman" w:hAnsi="Times New Roman" w:cs="Times New Roman"/>
          <w:sz w:val="20"/>
          <w:szCs w:val="20"/>
        </w:rPr>
      </w:pPr>
      <w:r w:rsidRPr="006C5351">
        <w:rPr>
          <w:rFonts w:ascii="Times New Roman" w:hAnsi="Times New Roman" w:cs="Times New Roman"/>
          <w:sz w:val="20"/>
          <w:szCs w:val="20"/>
        </w:rPr>
        <w:t xml:space="preserve">Sono state trasmesse oltre 3000 istanze all’Amministrazione Straordinaria di Alitalia che </w:t>
      </w:r>
      <w:r w:rsidR="00AF5D3A">
        <w:rPr>
          <w:rFonts w:ascii="Times New Roman" w:hAnsi="Times New Roman" w:cs="Times New Roman"/>
          <w:sz w:val="20"/>
          <w:szCs w:val="20"/>
        </w:rPr>
        <w:t>ha preso in carico</w:t>
      </w:r>
      <w:r w:rsidRPr="006C5351">
        <w:rPr>
          <w:rFonts w:ascii="Times New Roman" w:hAnsi="Times New Roman" w:cs="Times New Roman"/>
          <w:sz w:val="20"/>
          <w:szCs w:val="20"/>
        </w:rPr>
        <w:t xml:space="preserve"> </w:t>
      </w:r>
      <w:r w:rsidR="008D5B01">
        <w:rPr>
          <w:rFonts w:ascii="Times New Roman" w:hAnsi="Times New Roman" w:cs="Times New Roman"/>
          <w:sz w:val="20"/>
          <w:szCs w:val="20"/>
        </w:rPr>
        <w:t>l</w:t>
      </w:r>
      <w:r w:rsidRPr="006C5351">
        <w:rPr>
          <w:rFonts w:ascii="Times New Roman" w:hAnsi="Times New Roman" w:cs="Times New Roman"/>
          <w:sz w:val="20"/>
          <w:szCs w:val="20"/>
        </w:rPr>
        <w:t>a gestione delle istanze di rimborso relative ai propri voucher emessi.</w:t>
      </w:r>
    </w:p>
    <w:p w14:paraId="2D3DBCA2" w14:textId="4EC45A94" w:rsidR="001A33ED" w:rsidRPr="006C5351" w:rsidRDefault="008D5B01" w:rsidP="008F48A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 </w:t>
      </w:r>
      <w:r w:rsidR="00531424">
        <w:rPr>
          <w:rFonts w:ascii="Times New Roman" w:hAnsi="Times New Roman" w:cs="Times New Roman"/>
          <w:sz w:val="20"/>
          <w:szCs w:val="20"/>
        </w:rPr>
        <w:t>d</w:t>
      </w:r>
      <w:r w:rsidRPr="006C5351">
        <w:rPr>
          <w:rFonts w:ascii="Times New Roman" w:hAnsi="Times New Roman" w:cs="Times New Roman"/>
          <w:sz w:val="20"/>
          <w:szCs w:val="20"/>
        </w:rPr>
        <w:t>ecreto del Direttore della Direzione Generale della Valorizzazione e della Promozione Turistica del 14 dicembre 2022, n. 18226</w:t>
      </w:r>
      <w:r>
        <w:rPr>
          <w:rFonts w:ascii="Times New Roman" w:hAnsi="Times New Roman" w:cs="Times New Roman"/>
          <w:sz w:val="20"/>
          <w:szCs w:val="20"/>
        </w:rPr>
        <w:t xml:space="preserve"> è stata</w:t>
      </w:r>
      <w:r w:rsidR="001A33ED" w:rsidRPr="006C5351">
        <w:rPr>
          <w:rFonts w:ascii="Times New Roman" w:hAnsi="Times New Roman" w:cs="Times New Roman"/>
          <w:sz w:val="20"/>
          <w:szCs w:val="20"/>
        </w:rPr>
        <w:t xml:space="preserve"> </w:t>
      </w:r>
      <w:r w:rsidR="00AF5D3A">
        <w:rPr>
          <w:rFonts w:ascii="Times New Roman" w:hAnsi="Times New Roman" w:cs="Times New Roman"/>
          <w:sz w:val="20"/>
          <w:szCs w:val="20"/>
        </w:rPr>
        <w:t>dispost</w:t>
      </w:r>
      <w:r>
        <w:rPr>
          <w:rFonts w:ascii="Times New Roman" w:hAnsi="Times New Roman" w:cs="Times New Roman"/>
          <w:sz w:val="20"/>
          <w:szCs w:val="20"/>
        </w:rPr>
        <w:t>a</w:t>
      </w:r>
      <w:r w:rsidR="00AF5D3A">
        <w:rPr>
          <w:rFonts w:ascii="Times New Roman" w:hAnsi="Times New Roman" w:cs="Times New Roman"/>
          <w:sz w:val="20"/>
          <w:szCs w:val="20"/>
        </w:rPr>
        <w:t xml:space="preserve"> l</w:t>
      </w:r>
      <w:r w:rsidR="001A33ED" w:rsidRPr="006C5351">
        <w:rPr>
          <w:rFonts w:ascii="Times New Roman" w:hAnsi="Times New Roman" w:cs="Times New Roman"/>
          <w:sz w:val="20"/>
          <w:szCs w:val="20"/>
        </w:rPr>
        <w:t xml:space="preserve">a liquidazione di 23 istanze </w:t>
      </w:r>
      <w:r>
        <w:rPr>
          <w:rFonts w:ascii="Times New Roman" w:hAnsi="Times New Roman" w:cs="Times New Roman"/>
          <w:sz w:val="20"/>
          <w:szCs w:val="20"/>
        </w:rPr>
        <w:t>ammesse al Fondo.</w:t>
      </w:r>
      <w:r w:rsidR="001A33ED" w:rsidRPr="006C535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7A6EF1" w14:textId="20BA8781" w:rsidR="001A33ED" w:rsidRPr="006C5351" w:rsidRDefault="00C8571B" w:rsidP="008F48AE">
      <w:pPr>
        <w:jc w:val="both"/>
        <w:rPr>
          <w:rFonts w:ascii="Times New Roman" w:hAnsi="Times New Roman" w:cs="Times New Roman"/>
          <w:sz w:val="20"/>
          <w:szCs w:val="20"/>
        </w:rPr>
      </w:pPr>
      <w:r w:rsidRPr="006C5351">
        <w:rPr>
          <w:rFonts w:ascii="Times New Roman" w:hAnsi="Times New Roman" w:cs="Times New Roman"/>
          <w:sz w:val="20"/>
          <w:szCs w:val="20"/>
        </w:rPr>
        <w:t>Con</w:t>
      </w:r>
      <w:r w:rsidR="001A33ED" w:rsidRPr="006C5351">
        <w:rPr>
          <w:rFonts w:ascii="Times New Roman" w:hAnsi="Times New Roman" w:cs="Times New Roman"/>
          <w:sz w:val="20"/>
          <w:szCs w:val="20"/>
        </w:rPr>
        <w:t xml:space="preserve"> </w:t>
      </w:r>
      <w:r w:rsidR="00531424">
        <w:rPr>
          <w:rFonts w:ascii="Times New Roman" w:hAnsi="Times New Roman" w:cs="Times New Roman"/>
          <w:sz w:val="20"/>
          <w:szCs w:val="20"/>
        </w:rPr>
        <w:t>d</w:t>
      </w:r>
      <w:r w:rsidR="001A33ED" w:rsidRPr="006C5351">
        <w:rPr>
          <w:rFonts w:ascii="Times New Roman" w:hAnsi="Times New Roman" w:cs="Times New Roman"/>
          <w:sz w:val="20"/>
          <w:szCs w:val="20"/>
        </w:rPr>
        <w:t xml:space="preserve">ecreto del Direttore della </w:t>
      </w:r>
      <w:r w:rsidRPr="006C5351">
        <w:rPr>
          <w:rFonts w:ascii="Times New Roman" w:hAnsi="Times New Roman" w:cs="Times New Roman"/>
          <w:sz w:val="20"/>
          <w:szCs w:val="20"/>
        </w:rPr>
        <w:t>succitata</w:t>
      </w:r>
      <w:r w:rsidR="001A33ED" w:rsidRPr="006C5351">
        <w:rPr>
          <w:rFonts w:ascii="Times New Roman" w:hAnsi="Times New Roman" w:cs="Times New Roman"/>
          <w:sz w:val="20"/>
          <w:szCs w:val="20"/>
        </w:rPr>
        <w:t xml:space="preserve"> Direzione Generale del Minis</w:t>
      </w:r>
      <w:r w:rsidRPr="006C5351">
        <w:rPr>
          <w:rFonts w:ascii="Times New Roman" w:hAnsi="Times New Roman" w:cs="Times New Roman"/>
          <w:sz w:val="20"/>
          <w:szCs w:val="20"/>
        </w:rPr>
        <w:t xml:space="preserve">tero </w:t>
      </w:r>
      <w:r w:rsidR="001A33ED" w:rsidRPr="006C5351">
        <w:rPr>
          <w:rFonts w:ascii="Times New Roman" w:hAnsi="Times New Roman" w:cs="Times New Roman"/>
          <w:sz w:val="20"/>
          <w:szCs w:val="20"/>
        </w:rPr>
        <w:t>del 03 marzo 2023, n. 4236 è stato approvato l’elenco relativo alle n. 907 istanze non ammesse a rimborso.</w:t>
      </w:r>
    </w:p>
    <w:p w14:paraId="6B7E1632" w14:textId="5CCBAB92" w:rsidR="00970337" w:rsidRPr="006C5351" w:rsidRDefault="00AF5D3A" w:rsidP="008F48A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seguit</w:t>
      </w:r>
      <w:r w:rsidR="008D5B01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del completamento dell’attività istruttoria con </w:t>
      </w:r>
      <w:r w:rsidR="00531424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ecreto del Direttore della succitata Direzione Generale del Ministero del 15 maggio 2023 n. 9694 è stata disposta la liquidazione di ulteriori n. 19 istanze </w:t>
      </w:r>
      <w:r w:rsidR="008D5B01">
        <w:rPr>
          <w:rFonts w:ascii="Times New Roman" w:hAnsi="Times New Roman" w:cs="Times New Roman"/>
          <w:sz w:val="20"/>
          <w:szCs w:val="20"/>
        </w:rPr>
        <w:t>ammesse</w:t>
      </w:r>
      <w:r>
        <w:rPr>
          <w:rFonts w:ascii="Times New Roman" w:hAnsi="Times New Roman" w:cs="Times New Roman"/>
          <w:sz w:val="20"/>
          <w:szCs w:val="20"/>
        </w:rPr>
        <w:t xml:space="preserve"> al Fondo.</w:t>
      </w:r>
    </w:p>
    <w:sectPr w:rsidR="00970337" w:rsidRPr="006C53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952EB" w14:textId="77777777" w:rsidR="005F0A1E" w:rsidRDefault="005F0A1E" w:rsidP="00CF4935">
      <w:pPr>
        <w:spacing w:after="0" w:line="240" w:lineRule="auto"/>
      </w:pPr>
      <w:r>
        <w:separator/>
      </w:r>
    </w:p>
  </w:endnote>
  <w:endnote w:type="continuationSeparator" w:id="0">
    <w:p w14:paraId="02F7A6E8" w14:textId="77777777" w:rsidR="005F0A1E" w:rsidRDefault="005F0A1E" w:rsidP="00CF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7FE22" w14:textId="77777777" w:rsidR="005F0A1E" w:rsidRDefault="005F0A1E" w:rsidP="00CF4935">
      <w:pPr>
        <w:spacing w:after="0" w:line="240" w:lineRule="auto"/>
      </w:pPr>
      <w:r>
        <w:separator/>
      </w:r>
    </w:p>
  </w:footnote>
  <w:footnote w:type="continuationSeparator" w:id="0">
    <w:p w14:paraId="4246F499" w14:textId="77777777" w:rsidR="005F0A1E" w:rsidRDefault="005F0A1E" w:rsidP="00CF4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BE"/>
    <w:rsid w:val="00022859"/>
    <w:rsid w:val="00032289"/>
    <w:rsid w:val="00041726"/>
    <w:rsid w:val="001358BE"/>
    <w:rsid w:val="00162F9F"/>
    <w:rsid w:val="001A33ED"/>
    <w:rsid w:val="002A7208"/>
    <w:rsid w:val="00303667"/>
    <w:rsid w:val="00481E70"/>
    <w:rsid w:val="00504F42"/>
    <w:rsid w:val="00531424"/>
    <w:rsid w:val="00531571"/>
    <w:rsid w:val="005F0A1E"/>
    <w:rsid w:val="00660E44"/>
    <w:rsid w:val="006B36F5"/>
    <w:rsid w:val="006C5351"/>
    <w:rsid w:val="006D2297"/>
    <w:rsid w:val="00764962"/>
    <w:rsid w:val="007D4FBE"/>
    <w:rsid w:val="007F6AF3"/>
    <w:rsid w:val="00827920"/>
    <w:rsid w:val="00857798"/>
    <w:rsid w:val="008D5B01"/>
    <w:rsid w:val="008E3875"/>
    <w:rsid w:val="008F48AE"/>
    <w:rsid w:val="00970337"/>
    <w:rsid w:val="009A2E93"/>
    <w:rsid w:val="00AD50AF"/>
    <w:rsid w:val="00AF5D3A"/>
    <w:rsid w:val="00B27EEA"/>
    <w:rsid w:val="00C8571B"/>
    <w:rsid w:val="00C93A98"/>
    <w:rsid w:val="00CB473B"/>
    <w:rsid w:val="00CF4935"/>
    <w:rsid w:val="00D374B3"/>
    <w:rsid w:val="00D50A8D"/>
    <w:rsid w:val="00D96028"/>
    <w:rsid w:val="00E60467"/>
    <w:rsid w:val="00E9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036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35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5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5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5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5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5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5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5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5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5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5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5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58B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58B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58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58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58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58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5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5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5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5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5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58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58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58B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5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58B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58BE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6D22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D22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D22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22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D229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D229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229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F49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935"/>
  </w:style>
  <w:style w:type="paragraph" w:styleId="Pidipagina">
    <w:name w:val="footer"/>
    <w:basedOn w:val="Normale"/>
    <w:link w:val="PidipaginaCarattere"/>
    <w:uiPriority w:val="99"/>
    <w:unhideWhenUsed/>
    <w:rsid w:val="00CF49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2024-06-19T11:11:00Z</dcterms:created>
  <dcterms:modified xsi:type="dcterms:W3CDTF">2024-06-19T11:17:00Z</dcterms:modified>
</cp:coreProperties>
</file>